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B80" w:rsidRDefault="008E555B">
      <w:r>
        <w:t xml:space="preserve">Escudo partido: 1, en cambio de sinople una torre de oro; calzado de oro y cargada cada partición con una estrella de gules. 2, en campo de gules un acueducto de plata, puesto sobre diez rocas de lo mismo. ACUERDO del  Pleno del Ayuntamiento de </w:t>
      </w:r>
      <w:proofErr w:type="spellStart"/>
      <w:r>
        <w:t>Valdeprados</w:t>
      </w:r>
      <w:proofErr w:type="spellEnd"/>
      <w:r>
        <w:t>, de 20 de diciembre de 2007, por el que se adopta Escudo Her</w:t>
      </w:r>
    </w:p>
    <w:sectPr w:rsidR="00614B80" w:rsidSect="00614B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555B"/>
    <w:rsid w:val="002B5CA7"/>
    <w:rsid w:val="00614B80"/>
    <w:rsid w:val="008E5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B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Valdeprados</dc:creator>
  <cp:keywords/>
  <dc:description/>
  <cp:lastModifiedBy>Valdeprados</cp:lastModifiedBy>
  <cp:revision>3</cp:revision>
  <dcterms:created xsi:type="dcterms:W3CDTF">2017-08-09T11:32:00Z</dcterms:created>
  <dcterms:modified xsi:type="dcterms:W3CDTF">2017-08-09T11:37:00Z</dcterms:modified>
</cp:coreProperties>
</file>